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493" w:tblpY="1501"/>
        <w:tblW w:w="10173" w:type="dxa"/>
        <w:tblLook w:val="04A0" w:firstRow="1" w:lastRow="0" w:firstColumn="1" w:lastColumn="0" w:noHBand="0" w:noVBand="1"/>
      </w:tblPr>
      <w:tblGrid>
        <w:gridCol w:w="10173"/>
      </w:tblGrid>
      <w:tr w:rsidR="00711BB7" w:rsidRPr="00E43CAE" w:rsidTr="00E43CAE">
        <w:tc>
          <w:tcPr>
            <w:tcW w:w="10173" w:type="dxa"/>
            <w:shd w:val="clear" w:color="auto" w:fill="auto"/>
          </w:tcPr>
          <w:p w:rsidR="00711BB7" w:rsidRPr="00E43CAE" w:rsidRDefault="00711BB7" w:rsidP="00E43CAE">
            <w:pPr>
              <w:jc w:val="center"/>
              <w:rPr>
                <w:b/>
                <w:sz w:val="25"/>
                <w:szCs w:val="25"/>
              </w:rPr>
            </w:pPr>
            <w:r w:rsidRPr="00E43CAE">
              <w:rPr>
                <w:b/>
                <w:sz w:val="25"/>
                <w:szCs w:val="25"/>
              </w:rPr>
              <w:br/>
            </w:r>
            <w:r w:rsidRPr="00E43CAE">
              <w:rPr>
                <w:b/>
                <w:sz w:val="36"/>
                <w:szCs w:val="25"/>
              </w:rPr>
              <w:t>One City Plan – Race Equality Goals</w:t>
            </w:r>
            <w:r w:rsidRPr="00E43CAE">
              <w:rPr>
                <w:b/>
                <w:sz w:val="25"/>
                <w:szCs w:val="25"/>
              </w:rPr>
              <w:br/>
            </w:r>
          </w:p>
        </w:tc>
      </w:tr>
      <w:tr w:rsidR="00711BB7" w:rsidRPr="00E43CAE" w:rsidTr="00E43CAE">
        <w:tc>
          <w:tcPr>
            <w:tcW w:w="10173" w:type="dxa"/>
            <w:shd w:val="clear" w:color="auto" w:fill="auto"/>
          </w:tcPr>
          <w:p w:rsidR="009525F5" w:rsidRPr="00E43CAE" w:rsidRDefault="00711BB7" w:rsidP="00E43CAE">
            <w:pPr>
              <w:rPr>
                <w:sz w:val="26"/>
                <w:szCs w:val="26"/>
              </w:rPr>
            </w:pPr>
            <w:r w:rsidRPr="00E43CAE">
              <w:rPr>
                <w:b/>
                <w:sz w:val="26"/>
                <w:szCs w:val="26"/>
              </w:rPr>
              <w:br/>
            </w:r>
            <w:r w:rsidRPr="00E43CAE">
              <w:rPr>
                <w:sz w:val="26"/>
                <w:szCs w:val="26"/>
              </w:rPr>
              <w:t xml:space="preserve">The table below sets out the </w:t>
            </w:r>
            <w:r w:rsidR="009525F5" w:rsidRPr="00E43CAE">
              <w:rPr>
                <w:sz w:val="26"/>
                <w:szCs w:val="26"/>
              </w:rPr>
              <w:t xml:space="preserve">key </w:t>
            </w:r>
            <w:r w:rsidRPr="00E43CAE">
              <w:rPr>
                <w:sz w:val="26"/>
                <w:szCs w:val="26"/>
              </w:rPr>
              <w:t>goals within the One City Plan that refer to race equality, or which refer to inclusion in a broader sense, with race equality comprisi</w:t>
            </w:r>
            <w:r w:rsidR="009525F5" w:rsidRPr="00E43CAE">
              <w:rPr>
                <w:sz w:val="26"/>
                <w:szCs w:val="26"/>
              </w:rPr>
              <w:t xml:space="preserve">ng a central component of this.  These goals sit within the context of a plan for the city which is predicated upon making Bristol a fair, healthy and sustainable city in which nobody is left behind. </w:t>
            </w:r>
          </w:p>
          <w:p w:rsidR="009525F5" w:rsidRPr="00E43CAE" w:rsidRDefault="009525F5" w:rsidP="00E43CAE">
            <w:pPr>
              <w:rPr>
                <w:sz w:val="26"/>
                <w:szCs w:val="26"/>
              </w:rPr>
            </w:pPr>
          </w:p>
          <w:p w:rsidR="00AF6C7A" w:rsidRPr="00E43CAE" w:rsidRDefault="009525F5" w:rsidP="00E43CAE">
            <w:pPr>
              <w:rPr>
                <w:sz w:val="26"/>
                <w:szCs w:val="26"/>
              </w:rPr>
            </w:pPr>
            <w:r w:rsidRPr="00E43CAE">
              <w:rPr>
                <w:sz w:val="26"/>
                <w:szCs w:val="26"/>
              </w:rPr>
              <w:t>Whilst being interconnected, the goals are separated into the six themes of the plan. The intention is that each board takes responsibility (supported by the City Office team) for refreshing their theme in the plan, looking at goals in other themes in the plan that are inter-dependent and also making a</w:t>
            </w:r>
            <w:r w:rsidR="00AF6C7A" w:rsidRPr="00E43CAE">
              <w:rPr>
                <w:sz w:val="26"/>
                <w:szCs w:val="26"/>
              </w:rPr>
              <w:t>n</w:t>
            </w:r>
            <w:r w:rsidR="00215779" w:rsidRPr="00E43CAE">
              <w:rPr>
                <w:sz w:val="26"/>
                <w:szCs w:val="26"/>
              </w:rPr>
              <w:t>y suggestions on the narrative.</w:t>
            </w:r>
            <w:r w:rsidR="00215779" w:rsidRPr="00E43CAE">
              <w:rPr>
                <w:sz w:val="26"/>
                <w:szCs w:val="26"/>
              </w:rPr>
              <w:br/>
            </w:r>
            <w:r w:rsidR="00215779" w:rsidRPr="00E43CAE">
              <w:rPr>
                <w:sz w:val="26"/>
                <w:szCs w:val="26"/>
              </w:rPr>
              <w:br/>
              <w:t xml:space="preserve">Each year the plan will be refreshed and improve in sophistication, </w:t>
            </w:r>
            <w:r w:rsidR="00105F45" w:rsidRPr="00E43CAE">
              <w:rPr>
                <w:sz w:val="26"/>
                <w:szCs w:val="26"/>
              </w:rPr>
              <w:t>with this being first year of having the plan and board structures in place.</w:t>
            </w:r>
            <w:r w:rsidR="007A59FB" w:rsidRPr="00E43CAE">
              <w:rPr>
                <w:sz w:val="26"/>
                <w:szCs w:val="26"/>
              </w:rPr>
              <w:t xml:space="preserve"> </w:t>
            </w:r>
          </w:p>
          <w:p w:rsidR="00AF6C7A" w:rsidRPr="00E43CAE" w:rsidRDefault="00AF6C7A" w:rsidP="00E43CAE">
            <w:pPr>
              <w:rPr>
                <w:sz w:val="26"/>
                <w:szCs w:val="26"/>
              </w:rPr>
            </w:pPr>
          </w:p>
          <w:p w:rsidR="00215779" w:rsidRPr="00E43CAE" w:rsidRDefault="00215779" w:rsidP="00E43CAE">
            <w:pPr>
              <w:rPr>
                <w:sz w:val="26"/>
                <w:szCs w:val="26"/>
              </w:rPr>
            </w:pPr>
            <w:r w:rsidRPr="00E43CAE">
              <w:rPr>
                <w:b/>
                <w:sz w:val="26"/>
                <w:szCs w:val="26"/>
              </w:rPr>
              <w:t>We are inviting</w:t>
            </w:r>
            <w:r w:rsidR="007A59FB" w:rsidRPr="00E43CAE">
              <w:rPr>
                <w:b/>
                <w:sz w:val="26"/>
                <w:szCs w:val="26"/>
              </w:rPr>
              <w:t xml:space="preserve"> the Race Equality Strategic Leaders group to </w:t>
            </w:r>
            <w:r w:rsidR="00AF6C7A" w:rsidRPr="00E43CAE">
              <w:rPr>
                <w:b/>
                <w:sz w:val="26"/>
                <w:szCs w:val="26"/>
              </w:rPr>
              <w:t xml:space="preserve">share suggested </w:t>
            </w:r>
            <w:r w:rsidRPr="00E43CAE">
              <w:rPr>
                <w:b/>
                <w:sz w:val="26"/>
                <w:szCs w:val="26"/>
              </w:rPr>
              <w:t xml:space="preserve">amendments </w:t>
            </w:r>
            <w:r w:rsidR="00AF6C7A" w:rsidRPr="00E43CAE">
              <w:rPr>
                <w:b/>
                <w:sz w:val="26"/>
                <w:szCs w:val="26"/>
              </w:rPr>
              <w:t>directly with the City Office team (</w:t>
            </w:r>
            <w:hyperlink r:id="rId7" w:history="1">
              <w:r w:rsidR="00AF6C7A" w:rsidRPr="00E43CAE">
                <w:rPr>
                  <w:rStyle w:val="Hyperlink"/>
                  <w:b/>
                  <w:sz w:val="26"/>
                  <w:szCs w:val="26"/>
                </w:rPr>
                <w:t>City.Office@bristol.gov.uk</w:t>
              </w:r>
            </w:hyperlink>
            <w:r w:rsidRPr="00E43CAE">
              <w:rPr>
                <w:b/>
                <w:sz w:val="26"/>
                <w:szCs w:val="26"/>
              </w:rPr>
              <w:t>)</w:t>
            </w:r>
            <w:r w:rsidRPr="00E43CAE">
              <w:rPr>
                <w:sz w:val="26"/>
                <w:szCs w:val="26"/>
              </w:rPr>
              <w:t>, which we will share and discuss with the relevant boards ahead of the January 202</w:t>
            </w:r>
            <w:r w:rsidR="007A59FB" w:rsidRPr="00E43CAE">
              <w:rPr>
                <w:sz w:val="26"/>
                <w:szCs w:val="26"/>
              </w:rPr>
              <w:t>0 refresh of the One City Plan.</w:t>
            </w:r>
            <w:r w:rsidR="009525F5" w:rsidRPr="00E43CAE">
              <w:rPr>
                <w:sz w:val="26"/>
                <w:szCs w:val="26"/>
              </w:rPr>
              <w:br/>
            </w:r>
            <w:r w:rsidR="009525F5" w:rsidRPr="00E43CAE">
              <w:rPr>
                <w:sz w:val="26"/>
                <w:szCs w:val="26"/>
              </w:rPr>
              <w:br/>
            </w:r>
            <w:r w:rsidRPr="00E43CAE">
              <w:rPr>
                <w:sz w:val="26"/>
                <w:szCs w:val="26"/>
              </w:rPr>
              <w:t xml:space="preserve">The City Office is working to the following timeline to meet the necessary printing and design deadlines and to obtain the necessary sign-off: </w:t>
            </w:r>
            <w:r w:rsidRPr="00E43CAE">
              <w:rPr>
                <w:sz w:val="26"/>
                <w:szCs w:val="26"/>
              </w:rPr>
              <w:br/>
            </w:r>
          </w:p>
          <w:p w:rsidR="00215779" w:rsidRPr="00E43CAE" w:rsidRDefault="00215779" w:rsidP="00E43CAE">
            <w:pPr>
              <w:rPr>
                <w:sz w:val="26"/>
                <w:szCs w:val="26"/>
              </w:rPr>
            </w:pPr>
            <w:r w:rsidRPr="00E43CAE">
              <w:rPr>
                <w:b/>
                <w:bCs/>
                <w:sz w:val="26"/>
                <w:szCs w:val="26"/>
              </w:rPr>
              <w:t>Monday 21</w:t>
            </w:r>
            <w:r w:rsidRPr="00E43CAE">
              <w:rPr>
                <w:b/>
                <w:bCs/>
                <w:sz w:val="26"/>
                <w:szCs w:val="26"/>
                <w:vertAlign w:val="superscript"/>
              </w:rPr>
              <w:t>st</w:t>
            </w:r>
            <w:r w:rsidRPr="00E43CAE">
              <w:rPr>
                <w:b/>
                <w:bCs/>
                <w:sz w:val="26"/>
                <w:szCs w:val="26"/>
              </w:rPr>
              <w:t xml:space="preserve"> October –</w:t>
            </w:r>
            <w:r w:rsidRPr="00E43CAE">
              <w:rPr>
                <w:sz w:val="26"/>
                <w:szCs w:val="26"/>
              </w:rPr>
              <w:t xml:space="preserve"> all boards to return their first draft of the revised timelines, comments on inter-dependencies and also anything particular they feel needs to be highlighted in the narrative. Deadline also for any comments from cross-cutting groups. </w:t>
            </w:r>
          </w:p>
          <w:p w:rsidR="00215779" w:rsidRPr="00E43CAE" w:rsidRDefault="00215779" w:rsidP="00E43CAE">
            <w:pPr>
              <w:rPr>
                <w:sz w:val="26"/>
                <w:szCs w:val="26"/>
              </w:rPr>
            </w:pPr>
          </w:p>
          <w:p w:rsidR="00215779" w:rsidRPr="00E43CAE" w:rsidRDefault="00215779" w:rsidP="00E43CAE">
            <w:pPr>
              <w:rPr>
                <w:sz w:val="26"/>
                <w:szCs w:val="26"/>
              </w:rPr>
            </w:pPr>
            <w:r w:rsidRPr="00E43CAE">
              <w:rPr>
                <w:b/>
                <w:bCs/>
                <w:sz w:val="26"/>
                <w:szCs w:val="26"/>
              </w:rPr>
              <w:t>Friday 1</w:t>
            </w:r>
            <w:r w:rsidRPr="00E43CAE">
              <w:rPr>
                <w:b/>
                <w:bCs/>
                <w:sz w:val="26"/>
                <w:szCs w:val="26"/>
                <w:vertAlign w:val="superscript"/>
              </w:rPr>
              <w:t>st</w:t>
            </w:r>
            <w:r w:rsidRPr="00E43CAE">
              <w:rPr>
                <w:b/>
                <w:bCs/>
                <w:sz w:val="26"/>
                <w:szCs w:val="26"/>
              </w:rPr>
              <w:t xml:space="preserve"> November</w:t>
            </w:r>
            <w:r w:rsidRPr="00E43CAE">
              <w:rPr>
                <w:sz w:val="26"/>
                <w:szCs w:val="26"/>
              </w:rPr>
              <w:t xml:space="preserve"> – City Office to have processed the returns, brought them all together and </w:t>
            </w:r>
            <w:proofErr w:type="gramStart"/>
            <w:r w:rsidRPr="00E43CAE">
              <w:rPr>
                <w:sz w:val="26"/>
                <w:szCs w:val="26"/>
              </w:rPr>
              <w:t>highlight</w:t>
            </w:r>
            <w:proofErr w:type="gramEnd"/>
            <w:r w:rsidRPr="00E43CAE">
              <w:rPr>
                <w:sz w:val="26"/>
                <w:szCs w:val="26"/>
              </w:rPr>
              <w:t xml:space="preserve"> any duplications or gaps or any feedback from groups that has not already been shared with the boards. </w:t>
            </w:r>
          </w:p>
          <w:p w:rsidR="00215779" w:rsidRPr="00E43CAE" w:rsidRDefault="00215779" w:rsidP="00E43CAE">
            <w:pPr>
              <w:rPr>
                <w:b/>
                <w:bCs/>
                <w:sz w:val="26"/>
                <w:szCs w:val="26"/>
              </w:rPr>
            </w:pPr>
          </w:p>
          <w:p w:rsidR="00215779" w:rsidRPr="00E43CAE" w:rsidRDefault="00215779" w:rsidP="00E43CAE">
            <w:pPr>
              <w:rPr>
                <w:sz w:val="26"/>
                <w:szCs w:val="26"/>
              </w:rPr>
            </w:pPr>
            <w:r w:rsidRPr="00E43CAE">
              <w:rPr>
                <w:b/>
                <w:bCs/>
                <w:sz w:val="26"/>
                <w:szCs w:val="26"/>
              </w:rPr>
              <w:t>November / early December</w:t>
            </w:r>
            <w:r w:rsidRPr="00E43CAE">
              <w:rPr>
                <w:sz w:val="26"/>
                <w:szCs w:val="26"/>
              </w:rPr>
              <w:t xml:space="preserve"> – boards sign-off their final version of the timelines. This ideally will be via board meetings but recognising that is not possible then email sign-off is sufficient providing all board members have had an opportunity to comment. </w:t>
            </w:r>
          </w:p>
          <w:p w:rsidR="00215779" w:rsidRPr="00E43CAE" w:rsidRDefault="00215779" w:rsidP="00E43CAE">
            <w:pPr>
              <w:rPr>
                <w:sz w:val="26"/>
                <w:szCs w:val="26"/>
              </w:rPr>
            </w:pPr>
          </w:p>
          <w:p w:rsidR="00215779" w:rsidRPr="00E43CAE" w:rsidRDefault="00215779" w:rsidP="00E43CAE">
            <w:pPr>
              <w:rPr>
                <w:sz w:val="26"/>
                <w:szCs w:val="26"/>
              </w:rPr>
            </w:pPr>
            <w:r w:rsidRPr="00E43CAE">
              <w:rPr>
                <w:b/>
                <w:bCs/>
                <w:sz w:val="26"/>
                <w:szCs w:val="26"/>
              </w:rPr>
              <w:t>Friday 6</w:t>
            </w:r>
            <w:r w:rsidRPr="00E43CAE">
              <w:rPr>
                <w:b/>
                <w:bCs/>
                <w:sz w:val="26"/>
                <w:szCs w:val="26"/>
                <w:vertAlign w:val="superscript"/>
              </w:rPr>
              <w:t>th</w:t>
            </w:r>
            <w:r w:rsidRPr="00E43CAE">
              <w:rPr>
                <w:b/>
                <w:bCs/>
                <w:sz w:val="26"/>
                <w:szCs w:val="26"/>
              </w:rPr>
              <w:t xml:space="preserve"> December</w:t>
            </w:r>
            <w:r w:rsidRPr="00E43CAE">
              <w:rPr>
                <w:sz w:val="26"/>
                <w:szCs w:val="26"/>
              </w:rPr>
              <w:t xml:space="preserve"> – final draft issued to the design team for layout. At this stage only minor changes to wording will be accepted. </w:t>
            </w:r>
          </w:p>
          <w:p w:rsidR="00215779" w:rsidRPr="00E43CAE" w:rsidRDefault="00215779" w:rsidP="00E43CAE">
            <w:pPr>
              <w:rPr>
                <w:sz w:val="26"/>
                <w:szCs w:val="26"/>
              </w:rPr>
            </w:pPr>
          </w:p>
          <w:p w:rsidR="007A59FB" w:rsidRPr="00E43CAE" w:rsidRDefault="00215779" w:rsidP="00E43CAE">
            <w:pPr>
              <w:rPr>
                <w:sz w:val="26"/>
                <w:szCs w:val="26"/>
              </w:rPr>
            </w:pPr>
            <w:r w:rsidRPr="00E43CAE">
              <w:rPr>
                <w:b/>
                <w:bCs/>
                <w:sz w:val="26"/>
                <w:szCs w:val="26"/>
              </w:rPr>
              <w:t>Friday 13</w:t>
            </w:r>
            <w:r w:rsidRPr="00E43CAE">
              <w:rPr>
                <w:b/>
                <w:bCs/>
                <w:sz w:val="26"/>
                <w:szCs w:val="26"/>
                <w:vertAlign w:val="superscript"/>
              </w:rPr>
              <w:t>th</w:t>
            </w:r>
            <w:r w:rsidRPr="00E43CAE">
              <w:rPr>
                <w:b/>
                <w:bCs/>
                <w:sz w:val="26"/>
                <w:szCs w:val="26"/>
              </w:rPr>
              <w:t xml:space="preserve"> December</w:t>
            </w:r>
            <w:r w:rsidRPr="00E43CAE">
              <w:rPr>
                <w:sz w:val="26"/>
                <w:szCs w:val="26"/>
              </w:rPr>
              <w:t> – final deadline for any minor changes. The document will now be in the final design phase.</w:t>
            </w:r>
          </w:p>
          <w:p w:rsidR="007A59FB" w:rsidRPr="00E43CAE" w:rsidRDefault="007A59FB" w:rsidP="00E43CAE">
            <w:pPr>
              <w:rPr>
                <w:sz w:val="26"/>
                <w:szCs w:val="26"/>
              </w:rPr>
            </w:pPr>
          </w:p>
          <w:p w:rsidR="00711BB7" w:rsidRPr="00E43CAE" w:rsidRDefault="007A59FB" w:rsidP="00E43CAE">
            <w:pPr>
              <w:rPr>
                <w:b/>
                <w:sz w:val="26"/>
                <w:szCs w:val="26"/>
              </w:rPr>
            </w:pPr>
            <w:r w:rsidRPr="00E43CAE">
              <w:rPr>
                <w:b/>
                <w:sz w:val="26"/>
                <w:szCs w:val="26"/>
              </w:rPr>
              <w:t>By the next Race Equali</w:t>
            </w:r>
            <w:r w:rsidR="00AF4AE7" w:rsidRPr="00E43CAE">
              <w:rPr>
                <w:b/>
                <w:sz w:val="26"/>
                <w:szCs w:val="26"/>
              </w:rPr>
              <w:t xml:space="preserve">ty Strategic Leaders meeting on 27 </w:t>
            </w:r>
            <w:r w:rsidRPr="00E43CAE">
              <w:rPr>
                <w:b/>
                <w:sz w:val="26"/>
                <w:szCs w:val="26"/>
              </w:rPr>
              <w:t xml:space="preserve">November, the City Office will </w:t>
            </w:r>
            <w:r w:rsidRPr="00E43CAE">
              <w:rPr>
                <w:b/>
                <w:sz w:val="26"/>
                <w:szCs w:val="26"/>
              </w:rPr>
              <w:lastRenderedPageBreak/>
              <w:t>have received updates from each of the thematic boards, and will be able to discuss these with the group in</w:t>
            </w:r>
            <w:r w:rsidR="000E7229" w:rsidRPr="00E43CAE">
              <w:rPr>
                <w:b/>
                <w:sz w:val="26"/>
                <w:szCs w:val="26"/>
              </w:rPr>
              <w:t xml:space="preserve"> greater depth.</w:t>
            </w:r>
            <w:r w:rsidR="00711BB7" w:rsidRPr="00E43CAE">
              <w:rPr>
                <w:b/>
                <w:sz w:val="26"/>
                <w:szCs w:val="26"/>
              </w:rPr>
              <w:br/>
            </w:r>
          </w:p>
        </w:tc>
      </w:tr>
      <w:tr w:rsidR="00711BB7" w:rsidRPr="00E43CAE" w:rsidTr="00E43CAE">
        <w:tc>
          <w:tcPr>
            <w:tcW w:w="10173" w:type="dxa"/>
            <w:shd w:val="clear" w:color="auto" w:fill="92D050"/>
          </w:tcPr>
          <w:p w:rsidR="00711BB7" w:rsidRPr="00E43CAE" w:rsidRDefault="00711BB7" w:rsidP="00E43CAE">
            <w:pPr>
              <w:jc w:val="center"/>
              <w:rPr>
                <w:b/>
                <w:sz w:val="26"/>
                <w:szCs w:val="26"/>
              </w:rPr>
            </w:pPr>
            <w:r w:rsidRPr="00E43CAE">
              <w:rPr>
                <w:b/>
                <w:sz w:val="26"/>
                <w:szCs w:val="26"/>
              </w:rPr>
              <w:lastRenderedPageBreak/>
              <w:t>Economy</w:t>
            </w:r>
          </w:p>
        </w:tc>
      </w:tr>
      <w:tr w:rsidR="00711BB7" w:rsidRPr="00E43CAE" w:rsidTr="00E43CAE">
        <w:tc>
          <w:tcPr>
            <w:tcW w:w="10173" w:type="dxa"/>
          </w:tcPr>
          <w:p w:rsidR="00711BB7" w:rsidRPr="00E43CAE" w:rsidRDefault="00711BB7" w:rsidP="00E43CAE">
            <w:pPr>
              <w:rPr>
                <w:sz w:val="26"/>
                <w:szCs w:val="26"/>
              </w:rPr>
            </w:pPr>
            <w:r w:rsidRPr="00E43CAE">
              <w:rPr>
                <w:b/>
                <w:sz w:val="26"/>
                <w:szCs w:val="26"/>
                <w:u w:val="single"/>
              </w:rPr>
              <w:t>2021:</w:t>
            </w:r>
            <w:r w:rsidRPr="00E43CAE">
              <w:rPr>
                <w:b/>
                <w:sz w:val="26"/>
                <w:szCs w:val="26"/>
                <w:u w:val="single"/>
              </w:rPr>
              <w:br/>
            </w:r>
            <w:r w:rsidRPr="00E43CAE">
              <w:rPr>
                <w:sz w:val="26"/>
                <w:szCs w:val="26"/>
              </w:rPr>
              <w:br/>
              <w:t>Develop positive action programmes as Stepping Up and On-Board to increase representation from BAME communities in managerial positions, to better reflect city Demographics</w:t>
            </w:r>
          </w:p>
        </w:tc>
      </w:tr>
      <w:tr w:rsidR="00711BB7" w:rsidRPr="00E43CAE" w:rsidTr="00E43CAE">
        <w:tc>
          <w:tcPr>
            <w:tcW w:w="10173" w:type="dxa"/>
          </w:tcPr>
          <w:p w:rsidR="00711BB7" w:rsidRPr="00E43CAE" w:rsidRDefault="00711BB7" w:rsidP="00E43CAE">
            <w:pPr>
              <w:rPr>
                <w:sz w:val="26"/>
                <w:szCs w:val="26"/>
              </w:rPr>
            </w:pPr>
            <w:r w:rsidRPr="00E43CAE">
              <w:rPr>
                <w:b/>
                <w:sz w:val="26"/>
                <w:szCs w:val="26"/>
                <w:u w:val="single"/>
              </w:rPr>
              <w:t>2028:</w:t>
            </w:r>
            <w:r w:rsidRPr="00E43CAE">
              <w:rPr>
                <w:sz w:val="26"/>
                <w:szCs w:val="26"/>
              </w:rPr>
              <w:t xml:space="preserve"> </w:t>
            </w:r>
            <w:r w:rsidRPr="00E43CAE">
              <w:rPr>
                <w:sz w:val="26"/>
                <w:szCs w:val="26"/>
              </w:rPr>
              <w:br/>
            </w:r>
            <w:r w:rsidRPr="00E43CAE">
              <w:rPr>
                <w:sz w:val="26"/>
                <w:szCs w:val="26"/>
              </w:rPr>
              <w:br/>
              <w:t>A new ‘Bristol Urban Skills, Innovation and Enterprise Specialist Hub’ is opened to support BAME entrepreneurs – designed and delivered by the BAME community</w:t>
            </w:r>
          </w:p>
        </w:tc>
      </w:tr>
      <w:tr w:rsidR="00711BB7" w:rsidRPr="00E43CAE" w:rsidTr="00E43CAE">
        <w:tc>
          <w:tcPr>
            <w:tcW w:w="10173" w:type="dxa"/>
          </w:tcPr>
          <w:p w:rsidR="00711BB7" w:rsidRPr="00E43CAE" w:rsidRDefault="00711BB7" w:rsidP="00E43CAE">
            <w:pPr>
              <w:rPr>
                <w:sz w:val="26"/>
                <w:szCs w:val="26"/>
              </w:rPr>
            </w:pPr>
            <w:r w:rsidRPr="00E43CAE">
              <w:rPr>
                <w:b/>
                <w:sz w:val="26"/>
                <w:szCs w:val="26"/>
                <w:u w:val="single"/>
              </w:rPr>
              <w:t>2030:</w:t>
            </w:r>
            <w:r w:rsidRPr="00E43CAE">
              <w:rPr>
                <w:sz w:val="26"/>
                <w:szCs w:val="26"/>
              </w:rPr>
              <w:t xml:space="preserve"> </w:t>
            </w:r>
            <w:r w:rsidRPr="00E43CAE">
              <w:rPr>
                <w:sz w:val="26"/>
                <w:szCs w:val="26"/>
              </w:rPr>
              <w:br/>
            </w:r>
            <w:r w:rsidRPr="00E43CAE">
              <w:rPr>
                <w:sz w:val="26"/>
                <w:szCs w:val="26"/>
              </w:rPr>
              <w:br/>
              <w:t>1. The proportion of women, BAME, LGBTQ+ and disabled staff employed by public sector agencies reflects the diversity of the city’s working age population</w:t>
            </w:r>
            <w:r w:rsidRPr="00E43CAE">
              <w:rPr>
                <w:sz w:val="26"/>
                <w:szCs w:val="26"/>
              </w:rPr>
              <w:br/>
            </w:r>
            <w:r w:rsidRPr="00E43CAE">
              <w:rPr>
                <w:sz w:val="26"/>
                <w:szCs w:val="26"/>
              </w:rPr>
              <w:br/>
              <w:t>2. The proportion of women, BAME, LGBTQ+ and disabled staff employed by public sector agencies reflects the diversity of the city’s working age population</w:t>
            </w:r>
          </w:p>
        </w:tc>
      </w:tr>
      <w:tr w:rsidR="00711BB7" w:rsidRPr="00E43CAE" w:rsidTr="00E43CAE">
        <w:tc>
          <w:tcPr>
            <w:tcW w:w="10173" w:type="dxa"/>
          </w:tcPr>
          <w:p w:rsidR="00711BB7" w:rsidRPr="00E43CAE" w:rsidRDefault="00711BB7" w:rsidP="00E43CAE">
            <w:pPr>
              <w:rPr>
                <w:sz w:val="26"/>
                <w:szCs w:val="26"/>
              </w:rPr>
            </w:pPr>
            <w:r w:rsidRPr="00E43CAE">
              <w:rPr>
                <w:b/>
                <w:sz w:val="26"/>
                <w:szCs w:val="26"/>
                <w:u w:val="single"/>
              </w:rPr>
              <w:t>2035:</w:t>
            </w:r>
            <w:r w:rsidRPr="00E43CAE">
              <w:rPr>
                <w:sz w:val="26"/>
                <w:szCs w:val="26"/>
              </w:rPr>
              <w:t xml:space="preserve"> </w:t>
            </w:r>
            <w:r w:rsidRPr="00E43CAE">
              <w:rPr>
                <w:sz w:val="26"/>
                <w:szCs w:val="26"/>
              </w:rPr>
              <w:br/>
            </w:r>
            <w:r w:rsidRPr="00E43CAE">
              <w:rPr>
                <w:sz w:val="26"/>
                <w:szCs w:val="26"/>
              </w:rPr>
              <w:br/>
              <w:t>The difference in unemployment rates between</w:t>
            </w:r>
            <w:r w:rsidRPr="00E43CAE">
              <w:rPr>
                <w:sz w:val="26"/>
                <w:szCs w:val="26"/>
              </w:rPr>
              <w:tab/>
              <w:t>diversity groups including women, BAME, LGBTQ+ and disabled people within the city continues to decrease</w:t>
            </w:r>
          </w:p>
        </w:tc>
      </w:tr>
      <w:tr w:rsidR="00711BB7" w:rsidRPr="00E43CAE" w:rsidTr="00E43CAE">
        <w:tc>
          <w:tcPr>
            <w:tcW w:w="10173" w:type="dxa"/>
          </w:tcPr>
          <w:p w:rsidR="00711BB7" w:rsidRPr="00E43CAE" w:rsidRDefault="00711BB7" w:rsidP="00E43CAE">
            <w:pPr>
              <w:rPr>
                <w:sz w:val="26"/>
                <w:szCs w:val="26"/>
              </w:rPr>
            </w:pPr>
            <w:r w:rsidRPr="00E43CAE">
              <w:rPr>
                <w:b/>
                <w:sz w:val="26"/>
                <w:szCs w:val="26"/>
                <w:u w:val="single"/>
              </w:rPr>
              <w:t>2039:</w:t>
            </w:r>
            <w:r w:rsidRPr="00E43CAE">
              <w:rPr>
                <w:sz w:val="26"/>
                <w:szCs w:val="26"/>
              </w:rPr>
              <w:t xml:space="preserve"> </w:t>
            </w:r>
            <w:r w:rsidRPr="00E43CAE">
              <w:rPr>
                <w:sz w:val="26"/>
                <w:szCs w:val="26"/>
              </w:rPr>
              <w:br/>
            </w:r>
            <w:r w:rsidRPr="00E43CAE">
              <w:rPr>
                <w:sz w:val="26"/>
                <w:szCs w:val="26"/>
              </w:rPr>
              <w:br/>
              <w:t>Bristol has a high proportion of exhibitions and projects of national and international significance compared to peer cities including a cultural programme that celebrates the whole city and is representative of its diversity and history</w:t>
            </w:r>
          </w:p>
        </w:tc>
      </w:tr>
      <w:tr w:rsidR="00711BB7" w:rsidRPr="00E43CAE" w:rsidTr="00E43CAE">
        <w:tc>
          <w:tcPr>
            <w:tcW w:w="10173" w:type="dxa"/>
          </w:tcPr>
          <w:p w:rsidR="00711BB7" w:rsidRPr="00E43CAE" w:rsidRDefault="00711BB7" w:rsidP="00E43CAE">
            <w:pPr>
              <w:rPr>
                <w:sz w:val="26"/>
                <w:szCs w:val="26"/>
              </w:rPr>
            </w:pPr>
            <w:r w:rsidRPr="00E43CAE">
              <w:rPr>
                <w:b/>
                <w:sz w:val="26"/>
                <w:szCs w:val="26"/>
                <w:u w:val="single"/>
              </w:rPr>
              <w:t>2040:</w:t>
            </w:r>
            <w:r w:rsidRPr="00E43CAE">
              <w:rPr>
                <w:sz w:val="26"/>
                <w:szCs w:val="26"/>
              </w:rPr>
              <w:t xml:space="preserve"> </w:t>
            </w:r>
            <w:r w:rsidRPr="00E43CAE">
              <w:rPr>
                <w:sz w:val="26"/>
                <w:szCs w:val="26"/>
              </w:rPr>
              <w:br/>
            </w:r>
            <w:r w:rsidRPr="00E43CAE">
              <w:rPr>
                <w:sz w:val="26"/>
                <w:szCs w:val="26"/>
              </w:rPr>
              <w:br/>
              <w:t>The proportion of women, BAME, LGBTQ+ and disabled staff employed by all sectors fully reflects the diversity of the city at all levels</w:t>
            </w:r>
          </w:p>
        </w:tc>
      </w:tr>
      <w:tr w:rsidR="00711BB7" w:rsidRPr="00E43CAE" w:rsidTr="00E43CAE">
        <w:tc>
          <w:tcPr>
            <w:tcW w:w="10173" w:type="dxa"/>
          </w:tcPr>
          <w:p w:rsidR="00711BB7" w:rsidRPr="00E43CAE" w:rsidRDefault="00711BB7" w:rsidP="00E43CAE">
            <w:pPr>
              <w:rPr>
                <w:sz w:val="26"/>
                <w:szCs w:val="26"/>
              </w:rPr>
            </w:pPr>
            <w:r w:rsidRPr="00E43CAE">
              <w:rPr>
                <w:b/>
                <w:sz w:val="26"/>
                <w:szCs w:val="26"/>
                <w:u w:val="single"/>
              </w:rPr>
              <w:t>2041:</w:t>
            </w:r>
            <w:r w:rsidRPr="00E43CAE">
              <w:rPr>
                <w:sz w:val="26"/>
                <w:szCs w:val="26"/>
              </w:rPr>
              <w:t xml:space="preserve"> </w:t>
            </w:r>
            <w:r w:rsidRPr="00E43CAE">
              <w:rPr>
                <w:sz w:val="26"/>
                <w:szCs w:val="26"/>
              </w:rPr>
              <w:br/>
            </w:r>
            <w:r w:rsidRPr="00E43CAE">
              <w:rPr>
                <w:sz w:val="26"/>
                <w:szCs w:val="26"/>
              </w:rPr>
              <w:br/>
              <w:t>Leadership roles across the public, private and voluntary sectors fully reflect the diversity of the Bristol population</w:t>
            </w:r>
          </w:p>
        </w:tc>
      </w:tr>
      <w:tr w:rsidR="00711BB7" w:rsidRPr="00E43CAE" w:rsidTr="00E43CAE">
        <w:tc>
          <w:tcPr>
            <w:tcW w:w="10173" w:type="dxa"/>
            <w:shd w:val="clear" w:color="auto" w:fill="FF0000"/>
          </w:tcPr>
          <w:p w:rsidR="00711BB7" w:rsidRPr="00E43CAE" w:rsidRDefault="00711BB7" w:rsidP="00E43CAE">
            <w:pPr>
              <w:jc w:val="center"/>
              <w:rPr>
                <w:b/>
                <w:sz w:val="26"/>
                <w:szCs w:val="26"/>
              </w:rPr>
            </w:pPr>
            <w:r w:rsidRPr="00E43CAE">
              <w:rPr>
                <w:b/>
                <w:sz w:val="26"/>
                <w:szCs w:val="26"/>
              </w:rPr>
              <w:t>Learning and Skills</w:t>
            </w:r>
          </w:p>
        </w:tc>
      </w:tr>
      <w:tr w:rsidR="00711BB7" w:rsidRPr="00E43CAE" w:rsidTr="00E43CAE">
        <w:tc>
          <w:tcPr>
            <w:tcW w:w="10173" w:type="dxa"/>
          </w:tcPr>
          <w:p w:rsidR="00711BB7" w:rsidRPr="00E43CAE" w:rsidRDefault="00711BB7" w:rsidP="00E43CAE">
            <w:pPr>
              <w:rPr>
                <w:sz w:val="26"/>
                <w:szCs w:val="26"/>
              </w:rPr>
            </w:pPr>
            <w:r w:rsidRPr="00E43CAE">
              <w:rPr>
                <w:b/>
                <w:sz w:val="26"/>
                <w:szCs w:val="26"/>
                <w:u w:val="single"/>
              </w:rPr>
              <w:t>2022:</w:t>
            </w:r>
            <w:r w:rsidRPr="00E43CAE">
              <w:rPr>
                <w:b/>
                <w:sz w:val="26"/>
                <w:szCs w:val="26"/>
                <w:u w:val="single"/>
              </w:rPr>
              <w:br/>
            </w:r>
            <w:r w:rsidRPr="00E43CAE">
              <w:rPr>
                <w:sz w:val="26"/>
                <w:szCs w:val="26"/>
              </w:rPr>
              <w:br/>
              <w:t>City-wide recruitment programmes are</w:t>
            </w:r>
            <w:r w:rsidRPr="00E43CAE">
              <w:rPr>
                <w:sz w:val="26"/>
                <w:szCs w:val="26"/>
              </w:rPr>
              <w:tab/>
              <w:t>increasing the diversity of school teachers in the city</w:t>
            </w:r>
          </w:p>
        </w:tc>
      </w:tr>
      <w:tr w:rsidR="00711BB7" w:rsidRPr="00E43CAE" w:rsidTr="00E43CAE">
        <w:tc>
          <w:tcPr>
            <w:tcW w:w="10173" w:type="dxa"/>
          </w:tcPr>
          <w:p w:rsidR="00711BB7" w:rsidRPr="00E43CAE" w:rsidRDefault="00711BB7" w:rsidP="00E43CAE">
            <w:pPr>
              <w:rPr>
                <w:b/>
                <w:sz w:val="26"/>
                <w:szCs w:val="26"/>
                <w:u w:val="single"/>
              </w:rPr>
            </w:pPr>
            <w:r w:rsidRPr="00E43CAE">
              <w:rPr>
                <w:b/>
                <w:sz w:val="26"/>
                <w:szCs w:val="26"/>
                <w:u w:val="single"/>
              </w:rPr>
              <w:t xml:space="preserve">2026: </w:t>
            </w:r>
            <w:r w:rsidRPr="00E43CAE">
              <w:rPr>
                <w:b/>
                <w:sz w:val="26"/>
                <w:szCs w:val="26"/>
                <w:u w:val="single"/>
              </w:rPr>
              <w:br/>
            </w:r>
            <w:r w:rsidRPr="00E43CAE">
              <w:rPr>
                <w:b/>
                <w:sz w:val="26"/>
                <w:szCs w:val="26"/>
                <w:u w:val="single"/>
              </w:rPr>
              <w:br/>
            </w:r>
            <w:r w:rsidRPr="00E43CAE">
              <w:rPr>
                <w:sz w:val="26"/>
                <w:szCs w:val="26"/>
              </w:rPr>
              <w:t xml:space="preserve">The proportion of women, BAME, LGBTQ+ and disabled school leaders and teachers is </w:t>
            </w:r>
            <w:r w:rsidRPr="00E43CAE">
              <w:rPr>
                <w:sz w:val="26"/>
                <w:szCs w:val="26"/>
              </w:rPr>
              <w:lastRenderedPageBreak/>
              <w:t>representative of the city demographics</w:t>
            </w:r>
          </w:p>
        </w:tc>
      </w:tr>
      <w:tr w:rsidR="00711BB7" w:rsidRPr="00E43CAE" w:rsidTr="00E43CAE">
        <w:tc>
          <w:tcPr>
            <w:tcW w:w="10173" w:type="dxa"/>
          </w:tcPr>
          <w:p w:rsidR="00711BB7" w:rsidRPr="00E43CAE" w:rsidRDefault="00711BB7" w:rsidP="00E43CAE">
            <w:pPr>
              <w:rPr>
                <w:sz w:val="26"/>
                <w:szCs w:val="26"/>
              </w:rPr>
            </w:pPr>
            <w:r w:rsidRPr="00E43CAE">
              <w:rPr>
                <w:b/>
                <w:sz w:val="26"/>
                <w:szCs w:val="26"/>
                <w:u w:val="single"/>
              </w:rPr>
              <w:lastRenderedPageBreak/>
              <w:t>2040:</w:t>
            </w:r>
            <w:r w:rsidRPr="00E43CAE">
              <w:rPr>
                <w:sz w:val="26"/>
                <w:szCs w:val="26"/>
              </w:rPr>
              <w:t xml:space="preserve"> </w:t>
            </w:r>
            <w:r w:rsidRPr="00E43CAE">
              <w:rPr>
                <w:sz w:val="26"/>
                <w:szCs w:val="26"/>
              </w:rPr>
              <w:br/>
            </w:r>
            <w:r w:rsidRPr="00E43CAE">
              <w:rPr>
                <w:sz w:val="26"/>
                <w:szCs w:val="26"/>
              </w:rPr>
              <w:br/>
              <w:t>1. Every child who is educated in Bristol will be given equal opportunity of paid employment in the city irrespective of the neighbourhood they grew up in or any protected characteristics (such as race, religion or belief, disability, sex, sexual orientation or gender reassignment)</w:t>
            </w:r>
          </w:p>
          <w:p w:rsidR="00711BB7" w:rsidRPr="00E43CAE" w:rsidRDefault="00711BB7" w:rsidP="00E43CAE">
            <w:pPr>
              <w:rPr>
                <w:sz w:val="26"/>
                <w:szCs w:val="26"/>
              </w:rPr>
            </w:pPr>
          </w:p>
          <w:p w:rsidR="00711BB7" w:rsidRPr="00E43CAE" w:rsidRDefault="00711BB7" w:rsidP="00E43CAE">
            <w:pPr>
              <w:rPr>
                <w:sz w:val="26"/>
                <w:szCs w:val="26"/>
              </w:rPr>
            </w:pPr>
            <w:r w:rsidRPr="00E43CAE">
              <w:rPr>
                <w:sz w:val="26"/>
                <w:szCs w:val="26"/>
              </w:rPr>
              <w:t>2. The educational attainment gap is not linked to protected characteristics</w:t>
            </w:r>
          </w:p>
        </w:tc>
      </w:tr>
      <w:tr w:rsidR="00711BB7" w:rsidRPr="00E43CAE" w:rsidTr="00E43CAE">
        <w:tc>
          <w:tcPr>
            <w:tcW w:w="10173" w:type="dxa"/>
          </w:tcPr>
          <w:p w:rsidR="00711BB7" w:rsidRPr="00E43CAE" w:rsidRDefault="00711BB7" w:rsidP="00E43CAE">
            <w:pPr>
              <w:rPr>
                <w:b/>
                <w:sz w:val="26"/>
                <w:szCs w:val="26"/>
                <w:u w:val="single"/>
              </w:rPr>
            </w:pPr>
            <w:r w:rsidRPr="00E43CAE">
              <w:rPr>
                <w:b/>
                <w:sz w:val="26"/>
                <w:szCs w:val="26"/>
                <w:u w:val="single"/>
              </w:rPr>
              <w:t xml:space="preserve">2041: </w:t>
            </w:r>
            <w:r w:rsidRPr="00E43CAE">
              <w:rPr>
                <w:b/>
                <w:sz w:val="26"/>
                <w:szCs w:val="26"/>
                <w:u w:val="single"/>
              </w:rPr>
              <w:br/>
            </w:r>
            <w:r w:rsidRPr="00E43CAE">
              <w:rPr>
                <w:b/>
                <w:sz w:val="26"/>
                <w:szCs w:val="26"/>
                <w:u w:val="single"/>
              </w:rPr>
              <w:br/>
            </w:r>
            <w:r w:rsidRPr="00E43CAE">
              <w:rPr>
                <w:sz w:val="26"/>
                <w:szCs w:val="26"/>
              </w:rPr>
              <w:t>All Bristol school curriculums include modules which explore the cultural diversity and history of Bristol’s communities</w:t>
            </w:r>
          </w:p>
        </w:tc>
      </w:tr>
      <w:tr w:rsidR="00711BB7" w:rsidRPr="00E43CAE" w:rsidTr="00E43CAE">
        <w:tc>
          <w:tcPr>
            <w:tcW w:w="10173" w:type="dxa"/>
            <w:shd w:val="clear" w:color="auto" w:fill="FFC000"/>
          </w:tcPr>
          <w:p w:rsidR="00711BB7" w:rsidRPr="00E43CAE" w:rsidRDefault="00711BB7" w:rsidP="00E43CAE">
            <w:pPr>
              <w:jc w:val="center"/>
              <w:rPr>
                <w:b/>
                <w:sz w:val="26"/>
                <w:szCs w:val="26"/>
              </w:rPr>
            </w:pPr>
            <w:r w:rsidRPr="00E43CAE">
              <w:rPr>
                <w:b/>
                <w:sz w:val="26"/>
                <w:szCs w:val="26"/>
              </w:rPr>
              <w:t>Homes and Communities</w:t>
            </w:r>
          </w:p>
        </w:tc>
      </w:tr>
      <w:tr w:rsidR="00711BB7" w:rsidRPr="00E43CAE" w:rsidTr="00E43CAE">
        <w:tc>
          <w:tcPr>
            <w:tcW w:w="10173" w:type="dxa"/>
          </w:tcPr>
          <w:p w:rsidR="00711BB7" w:rsidRPr="00E43CAE" w:rsidRDefault="00711BB7" w:rsidP="00E43CAE">
            <w:pPr>
              <w:rPr>
                <w:sz w:val="26"/>
                <w:szCs w:val="26"/>
              </w:rPr>
            </w:pPr>
            <w:r w:rsidRPr="00E43CAE">
              <w:rPr>
                <w:b/>
                <w:sz w:val="26"/>
                <w:szCs w:val="26"/>
                <w:u w:val="single"/>
              </w:rPr>
              <w:t>2031:</w:t>
            </w:r>
            <w:r w:rsidRPr="00E43CAE">
              <w:rPr>
                <w:sz w:val="26"/>
                <w:szCs w:val="26"/>
              </w:rPr>
              <w:t xml:space="preserve"> </w:t>
            </w:r>
            <w:r w:rsidRPr="00E43CAE">
              <w:rPr>
                <w:sz w:val="26"/>
                <w:szCs w:val="26"/>
              </w:rPr>
              <w:br/>
            </w:r>
            <w:r w:rsidRPr="00E43CAE">
              <w:rPr>
                <w:sz w:val="26"/>
                <w:szCs w:val="26"/>
              </w:rPr>
              <w:br/>
              <w:t>There is a significant reduction in the disproportionate likelihood of people from black and ethnic minority (BAME) backgrounds being stopped and searched</w:t>
            </w:r>
          </w:p>
        </w:tc>
      </w:tr>
      <w:tr w:rsidR="00711BB7" w:rsidRPr="00E43CAE" w:rsidTr="00E43CAE">
        <w:tc>
          <w:tcPr>
            <w:tcW w:w="10173" w:type="dxa"/>
          </w:tcPr>
          <w:p w:rsidR="00711BB7" w:rsidRPr="00E43CAE" w:rsidRDefault="00711BB7" w:rsidP="00E43CAE">
            <w:pPr>
              <w:rPr>
                <w:sz w:val="26"/>
                <w:szCs w:val="26"/>
              </w:rPr>
            </w:pPr>
            <w:r w:rsidRPr="00E43CAE">
              <w:rPr>
                <w:b/>
                <w:sz w:val="26"/>
                <w:szCs w:val="26"/>
                <w:u w:val="single"/>
              </w:rPr>
              <w:t>2033:</w:t>
            </w:r>
            <w:r w:rsidRPr="00E43CAE">
              <w:rPr>
                <w:sz w:val="26"/>
                <w:szCs w:val="26"/>
              </w:rPr>
              <w:t xml:space="preserve"> </w:t>
            </w:r>
            <w:r w:rsidRPr="00E43CAE">
              <w:rPr>
                <w:sz w:val="26"/>
                <w:szCs w:val="26"/>
              </w:rPr>
              <w:br/>
            </w:r>
            <w:r w:rsidRPr="00E43CAE">
              <w:rPr>
                <w:sz w:val="26"/>
                <w:szCs w:val="26"/>
              </w:rPr>
              <w:br/>
              <w:t>Trust in the police amongst BAME communities has improved as evidenced by local surveys and community outreach programmes</w:t>
            </w:r>
          </w:p>
        </w:tc>
      </w:tr>
      <w:tr w:rsidR="00711BB7" w:rsidRPr="00E43CAE" w:rsidTr="00E43CAE">
        <w:tc>
          <w:tcPr>
            <w:tcW w:w="10173" w:type="dxa"/>
            <w:shd w:val="clear" w:color="auto" w:fill="00B0F0"/>
          </w:tcPr>
          <w:p w:rsidR="00711BB7" w:rsidRPr="00E43CAE" w:rsidRDefault="00711BB7" w:rsidP="00E43CAE">
            <w:pPr>
              <w:jc w:val="center"/>
              <w:rPr>
                <w:b/>
                <w:sz w:val="26"/>
                <w:szCs w:val="26"/>
              </w:rPr>
            </w:pPr>
            <w:r w:rsidRPr="00E43CAE">
              <w:rPr>
                <w:b/>
                <w:sz w:val="26"/>
                <w:szCs w:val="26"/>
              </w:rPr>
              <w:t>Health and Wellbeing</w:t>
            </w:r>
          </w:p>
        </w:tc>
      </w:tr>
      <w:tr w:rsidR="00711BB7" w:rsidRPr="00E43CAE" w:rsidTr="00E43CAE">
        <w:tc>
          <w:tcPr>
            <w:tcW w:w="10173" w:type="dxa"/>
          </w:tcPr>
          <w:p w:rsidR="00711BB7" w:rsidRPr="00E43CAE" w:rsidRDefault="00711BB7" w:rsidP="00E43CAE">
            <w:pPr>
              <w:rPr>
                <w:sz w:val="26"/>
                <w:szCs w:val="26"/>
              </w:rPr>
            </w:pPr>
            <w:r w:rsidRPr="00E43CAE">
              <w:rPr>
                <w:b/>
                <w:sz w:val="26"/>
                <w:szCs w:val="26"/>
                <w:u w:val="single"/>
              </w:rPr>
              <w:t>2035:</w:t>
            </w:r>
            <w:r w:rsidRPr="00E43CAE">
              <w:rPr>
                <w:sz w:val="26"/>
                <w:szCs w:val="26"/>
              </w:rPr>
              <w:t xml:space="preserve"> </w:t>
            </w:r>
            <w:r w:rsidRPr="00E43CAE">
              <w:rPr>
                <w:sz w:val="26"/>
                <w:szCs w:val="26"/>
              </w:rPr>
              <w:br/>
            </w:r>
            <w:r w:rsidRPr="00E43CAE">
              <w:rPr>
                <w:sz w:val="26"/>
                <w:szCs w:val="26"/>
              </w:rPr>
              <w:br/>
              <w:t>Everyone in Bristol has access to digital applications for medical, social care and other service provision improving equal access to services and information improving health outcomes</w:t>
            </w:r>
          </w:p>
        </w:tc>
      </w:tr>
      <w:tr w:rsidR="00711BB7" w:rsidRPr="00E43CAE" w:rsidTr="00E43CAE">
        <w:tc>
          <w:tcPr>
            <w:tcW w:w="10173" w:type="dxa"/>
          </w:tcPr>
          <w:p w:rsidR="00711BB7" w:rsidRPr="00E43CAE" w:rsidRDefault="00711BB7" w:rsidP="00E43CAE">
            <w:pPr>
              <w:rPr>
                <w:sz w:val="26"/>
                <w:szCs w:val="26"/>
              </w:rPr>
            </w:pPr>
            <w:r w:rsidRPr="00E43CAE">
              <w:rPr>
                <w:b/>
                <w:sz w:val="26"/>
                <w:szCs w:val="26"/>
                <w:u w:val="single"/>
              </w:rPr>
              <w:t>2038:</w:t>
            </w:r>
            <w:r w:rsidRPr="00E43CAE">
              <w:rPr>
                <w:sz w:val="26"/>
                <w:szCs w:val="26"/>
              </w:rPr>
              <w:t xml:space="preserve"> </w:t>
            </w:r>
            <w:r w:rsidRPr="00E43CAE">
              <w:rPr>
                <w:sz w:val="26"/>
                <w:szCs w:val="26"/>
              </w:rPr>
              <w:br/>
            </w:r>
            <w:r w:rsidRPr="00E43CAE">
              <w:rPr>
                <w:sz w:val="26"/>
                <w:szCs w:val="26"/>
              </w:rPr>
              <w:br/>
              <w:t>Inequalities in mental health problems for BAME communities are no longer disproportionate compared to the city as a whole</w:t>
            </w:r>
          </w:p>
        </w:tc>
      </w:tr>
      <w:tr w:rsidR="00711BB7" w:rsidRPr="00E43CAE" w:rsidTr="00E43CAE">
        <w:tc>
          <w:tcPr>
            <w:tcW w:w="10173" w:type="dxa"/>
          </w:tcPr>
          <w:p w:rsidR="00711BB7" w:rsidRPr="00E43CAE" w:rsidRDefault="00711BB7" w:rsidP="00E43CAE">
            <w:pPr>
              <w:rPr>
                <w:sz w:val="26"/>
                <w:szCs w:val="26"/>
              </w:rPr>
            </w:pPr>
            <w:r w:rsidRPr="00E43CAE">
              <w:rPr>
                <w:b/>
                <w:sz w:val="26"/>
                <w:szCs w:val="26"/>
                <w:u w:val="single"/>
              </w:rPr>
              <w:t>2042:</w:t>
            </w:r>
            <w:r w:rsidRPr="00E43CAE">
              <w:rPr>
                <w:sz w:val="26"/>
                <w:szCs w:val="26"/>
              </w:rPr>
              <w:t xml:space="preserve"> </w:t>
            </w:r>
            <w:r w:rsidRPr="00E43CAE">
              <w:rPr>
                <w:sz w:val="26"/>
                <w:szCs w:val="26"/>
              </w:rPr>
              <w:br/>
            </w:r>
            <w:r w:rsidRPr="00E43CAE">
              <w:rPr>
                <w:sz w:val="26"/>
                <w:szCs w:val="26"/>
              </w:rPr>
              <w:br/>
              <w:t>Inequalities in early cancer diagnosis will have been significantly reduced</w:t>
            </w:r>
          </w:p>
        </w:tc>
      </w:tr>
      <w:tr w:rsidR="00711BB7" w:rsidRPr="00E43CAE" w:rsidTr="00E43CAE">
        <w:tc>
          <w:tcPr>
            <w:tcW w:w="10173" w:type="dxa"/>
          </w:tcPr>
          <w:p w:rsidR="00711BB7" w:rsidRPr="00E43CAE" w:rsidRDefault="00711BB7" w:rsidP="00E43CAE">
            <w:pPr>
              <w:rPr>
                <w:sz w:val="26"/>
                <w:szCs w:val="26"/>
              </w:rPr>
            </w:pPr>
            <w:r w:rsidRPr="00E43CAE">
              <w:rPr>
                <w:b/>
                <w:sz w:val="26"/>
                <w:szCs w:val="26"/>
                <w:u w:val="single"/>
              </w:rPr>
              <w:t xml:space="preserve">2044: </w:t>
            </w:r>
            <w:r w:rsidRPr="00E43CAE">
              <w:rPr>
                <w:sz w:val="26"/>
                <w:szCs w:val="26"/>
              </w:rPr>
              <w:br/>
            </w:r>
            <w:r w:rsidRPr="00E43CAE">
              <w:rPr>
                <w:sz w:val="26"/>
                <w:szCs w:val="26"/>
              </w:rPr>
              <w:br/>
              <w:t>The strong and persistent link between</w:t>
            </w:r>
            <w:r w:rsidRPr="00E43CAE">
              <w:rPr>
                <w:sz w:val="26"/>
                <w:szCs w:val="26"/>
              </w:rPr>
              <w:tab/>
              <w:t>social inequalities and disparities in health outcomes will have been addressed as recommended by the Marmot Review 2010</w:t>
            </w:r>
          </w:p>
        </w:tc>
      </w:tr>
    </w:tbl>
    <w:p w:rsidR="00711BB7" w:rsidRPr="00E43CAE" w:rsidRDefault="00711BB7" w:rsidP="00711BB7">
      <w:pPr>
        <w:rPr>
          <w:b/>
          <w:sz w:val="26"/>
          <w:szCs w:val="26"/>
        </w:rPr>
      </w:pPr>
    </w:p>
    <w:p w:rsidR="00B378D1" w:rsidRDefault="00E43CAE">
      <w:bookmarkStart w:id="0" w:name="_GoBack"/>
      <w:bookmarkEnd w:id="0"/>
    </w:p>
    <w:sectPr w:rsidR="00B378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B7" w:rsidRDefault="00711BB7" w:rsidP="00711BB7">
      <w:pPr>
        <w:spacing w:after="0" w:line="240" w:lineRule="auto"/>
      </w:pPr>
      <w:r>
        <w:separator/>
      </w:r>
    </w:p>
  </w:endnote>
  <w:endnote w:type="continuationSeparator" w:id="0">
    <w:p w:rsidR="00711BB7" w:rsidRDefault="00711BB7" w:rsidP="0071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B7" w:rsidRDefault="00711BB7" w:rsidP="00711BB7">
      <w:pPr>
        <w:spacing w:after="0" w:line="240" w:lineRule="auto"/>
      </w:pPr>
      <w:r>
        <w:separator/>
      </w:r>
    </w:p>
  </w:footnote>
  <w:footnote w:type="continuationSeparator" w:id="0">
    <w:p w:rsidR="00711BB7" w:rsidRDefault="00711BB7" w:rsidP="00711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D9"/>
    <w:rsid w:val="00087F28"/>
    <w:rsid w:val="000E7229"/>
    <w:rsid w:val="00105A3C"/>
    <w:rsid w:val="00105F45"/>
    <w:rsid w:val="001B6BB7"/>
    <w:rsid w:val="00215779"/>
    <w:rsid w:val="004D1E6B"/>
    <w:rsid w:val="00592F10"/>
    <w:rsid w:val="00711BB7"/>
    <w:rsid w:val="007A59FB"/>
    <w:rsid w:val="007D7772"/>
    <w:rsid w:val="008C5124"/>
    <w:rsid w:val="009274E6"/>
    <w:rsid w:val="009525F5"/>
    <w:rsid w:val="009B15FD"/>
    <w:rsid w:val="009F74F5"/>
    <w:rsid w:val="00A02ED9"/>
    <w:rsid w:val="00A948C6"/>
    <w:rsid w:val="00AF2AE2"/>
    <w:rsid w:val="00AF4AE7"/>
    <w:rsid w:val="00AF6C7A"/>
    <w:rsid w:val="00D012C5"/>
    <w:rsid w:val="00E4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BB7"/>
  </w:style>
  <w:style w:type="paragraph" w:styleId="Footer">
    <w:name w:val="footer"/>
    <w:basedOn w:val="Normal"/>
    <w:link w:val="FooterChar"/>
    <w:uiPriority w:val="99"/>
    <w:unhideWhenUsed/>
    <w:rsid w:val="0071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BB7"/>
  </w:style>
  <w:style w:type="character" w:styleId="Hyperlink">
    <w:name w:val="Hyperlink"/>
    <w:basedOn w:val="DefaultParagraphFont"/>
    <w:uiPriority w:val="99"/>
    <w:unhideWhenUsed/>
    <w:rsid w:val="00AF6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BB7"/>
  </w:style>
  <w:style w:type="paragraph" w:styleId="Footer">
    <w:name w:val="footer"/>
    <w:basedOn w:val="Normal"/>
    <w:link w:val="FooterChar"/>
    <w:uiPriority w:val="99"/>
    <w:unhideWhenUsed/>
    <w:rsid w:val="0071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BB7"/>
  </w:style>
  <w:style w:type="character" w:styleId="Hyperlink">
    <w:name w:val="Hyperlink"/>
    <w:basedOn w:val="DefaultParagraphFont"/>
    <w:uiPriority w:val="99"/>
    <w:unhideWhenUsed/>
    <w:rsid w:val="00AF6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0006">
      <w:bodyDiv w:val="1"/>
      <w:marLeft w:val="0"/>
      <w:marRight w:val="0"/>
      <w:marTop w:val="0"/>
      <w:marBottom w:val="0"/>
      <w:divBdr>
        <w:top w:val="none" w:sz="0" w:space="0" w:color="auto"/>
        <w:left w:val="none" w:sz="0" w:space="0" w:color="auto"/>
        <w:bottom w:val="none" w:sz="0" w:space="0" w:color="auto"/>
        <w:right w:val="none" w:sz="0" w:space="0" w:color="auto"/>
      </w:divBdr>
    </w:div>
    <w:div w:id="8637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ty.Office@bristo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Smith</dc:creator>
  <cp:lastModifiedBy>Taylor Meagher</cp:lastModifiedBy>
  <cp:revision>2</cp:revision>
  <cp:lastPrinted>2019-10-16T12:42:00Z</cp:lastPrinted>
  <dcterms:created xsi:type="dcterms:W3CDTF">2019-10-16T12:47:00Z</dcterms:created>
  <dcterms:modified xsi:type="dcterms:W3CDTF">2019-10-16T12:47:00Z</dcterms:modified>
</cp:coreProperties>
</file>